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00" w:rsidRDefault="00A92000" w:rsidP="00A92000">
      <w:pPr>
        <w:pStyle w:val="1"/>
      </w:pPr>
      <w:r>
        <w:t>(88-72-2)2-硝基甲苯的理化及危险特性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16"/>
        <w:gridCol w:w="2599"/>
        <w:gridCol w:w="2170"/>
      </w:tblGrid>
      <w:tr w:rsidR="00A9200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标</w:t>
            </w:r>
          </w:p>
          <w:p w:rsidR="00A92000" w:rsidRDefault="00A92000" w:rsidP="0090435F">
            <w:pPr>
              <w:spacing w:line="296" w:lineRule="exact"/>
              <w:jc w:val="center"/>
              <w:rPr>
                <w:rFonts w:ascii="宋体" w:hAnsi="宋体"/>
              </w:rPr>
            </w:pPr>
            <w:r>
              <w:rPr>
                <w:rFonts w:ascii="宋体" w:hAnsi="宋体" w:hint="eastAsia"/>
              </w:rPr>
              <w:t>识</w:t>
            </w: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中文名： 2-硝基甲苯；</w:t>
            </w:r>
            <w:r>
              <w:rPr>
                <w:rFonts w:ascii="宋体" w:hAnsi="宋体" w:hint="eastAsia"/>
                <w:szCs w:val="18"/>
              </w:rPr>
              <w:t>邻硝基甲苯</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英文名</w:t>
            </w:r>
            <w:r>
              <w:rPr>
                <w:rFonts w:ascii="宋体" w:hAnsi="宋体" w:hint="eastAsia"/>
                <w:lang w:val="en-GB"/>
              </w:rPr>
              <w:t>：2-nitrotoluene ；o-nitrotoluene</w:t>
            </w:r>
          </w:p>
        </w:tc>
      </w:tr>
      <w:tr w:rsidR="00A92000" w:rsidTr="0090435F">
        <w:trPr>
          <w:cantSplit/>
          <w:jc w:val="center"/>
        </w:trPr>
        <w:tc>
          <w:tcPr>
            <w:tcW w:w="489" w:type="dxa"/>
            <w:vMerge/>
            <w:tcBorders>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7</w:t>
            </w:r>
            <w:r>
              <w:rPr>
                <w:rFonts w:ascii="宋体" w:hAnsi="宋体" w:hint="eastAsia"/>
                <w:szCs w:val="18"/>
              </w:rPr>
              <w:t>NO</w:t>
            </w:r>
            <w:r>
              <w:rPr>
                <w:rFonts w:ascii="宋体" w:hAnsi="宋体" w:hint="eastAsia"/>
                <w:szCs w:val="18"/>
                <w:vertAlign w:val="subscript"/>
              </w:rPr>
              <w:t>2</w:t>
            </w:r>
          </w:p>
        </w:tc>
        <w:tc>
          <w:tcPr>
            <w:tcW w:w="2599"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color w:val="FF6600"/>
              </w:rPr>
            </w:pPr>
            <w:r>
              <w:rPr>
                <w:rFonts w:ascii="宋体" w:hAnsi="宋体" w:hint="eastAsia"/>
              </w:rPr>
              <w:t>分子量： 137.14</w:t>
            </w:r>
          </w:p>
        </w:tc>
        <w:tc>
          <w:tcPr>
            <w:tcW w:w="2170"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UN编号：1664</w:t>
            </w:r>
          </w:p>
        </w:tc>
      </w:tr>
      <w:tr w:rsidR="00A92000" w:rsidTr="0090435F">
        <w:trPr>
          <w:cantSplit/>
          <w:jc w:val="center"/>
        </w:trPr>
        <w:tc>
          <w:tcPr>
            <w:tcW w:w="489" w:type="dxa"/>
            <w:vMerge/>
            <w:tcBorders>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危险类别：第6.1类 毒害品</w:t>
            </w:r>
          </w:p>
        </w:tc>
        <w:tc>
          <w:tcPr>
            <w:tcW w:w="2599"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危规号：  61058</w:t>
            </w:r>
          </w:p>
        </w:tc>
        <w:tc>
          <w:tcPr>
            <w:tcW w:w="2170"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CAS号：88-72-2</w:t>
            </w:r>
          </w:p>
        </w:tc>
      </w:tr>
      <w:tr w:rsidR="00A92000" w:rsidTr="0090435F">
        <w:trPr>
          <w:cantSplit/>
          <w:jc w:val="center"/>
        </w:trPr>
        <w:tc>
          <w:tcPr>
            <w:tcW w:w="489" w:type="dxa"/>
            <w:vMerge/>
            <w:tcBorders>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包装标志：剧毒品</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包装类别：Ⅱ类</w:t>
            </w:r>
          </w:p>
        </w:tc>
      </w:tr>
      <w:tr w:rsidR="00A9200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理</w:t>
            </w:r>
          </w:p>
          <w:p w:rsidR="00A92000" w:rsidRDefault="00A92000" w:rsidP="0090435F">
            <w:pPr>
              <w:spacing w:line="296" w:lineRule="exact"/>
              <w:jc w:val="center"/>
              <w:rPr>
                <w:rFonts w:ascii="宋体" w:hAnsi="宋体"/>
              </w:rPr>
            </w:pPr>
            <w:r>
              <w:rPr>
                <w:rFonts w:ascii="宋体" w:hAnsi="宋体" w:hint="eastAsia"/>
              </w:rPr>
              <w:t>化</w:t>
            </w:r>
          </w:p>
          <w:p w:rsidR="00A92000" w:rsidRDefault="00A92000" w:rsidP="0090435F">
            <w:pPr>
              <w:spacing w:line="296" w:lineRule="exact"/>
              <w:jc w:val="center"/>
              <w:rPr>
                <w:rFonts w:ascii="宋体" w:hAnsi="宋体"/>
              </w:rPr>
            </w:pPr>
            <w:r>
              <w:rPr>
                <w:rFonts w:ascii="宋体" w:hAnsi="宋体" w:hint="eastAsia"/>
              </w:rPr>
              <w:t>性</w:t>
            </w:r>
          </w:p>
          <w:p w:rsidR="00A92000" w:rsidRDefault="00A92000" w:rsidP="0090435F">
            <w:pPr>
              <w:spacing w:line="29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外观与性状：微黄色液体。</w:t>
            </w:r>
          </w:p>
        </w:tc>
      </w:tr>
      <w:tr w:rsidR="00A9200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溶解性：不溶于水，可混溶于醇、醚。</w:t>
            </w:r>
          </w:p>
        </w:tc>
      </w:tr>
      <w:tr w:rsidR="00A9200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熔点（℃）：-4.1</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沸点（℃）：222.3</w:t>
            </w:r>
          </w:p>
        </w:tc>
      </w:tr>
      <w:tr w:rsidR="00A9200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相对密度（水＝1）：1.16</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相对密度（空气＝1）：4.72</w:t>
            </w:r>
          </w:p>
        </w:tc>
      </w:tr>
      <w:tr w:rsidR="00A9200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饱和蒸气压（kPa）：0.13(50℃)</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燃烧热（kJ/mol）：119.6</w:t>
            </w:r>
          </w:p>
        </w:tc>
      </w:tr>
      <w:tr w:rsidR="00A9200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 xml:space="preserve">临界温度（℃）： </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 xml:space="preserve">临界压力（MPa）：  </w:t>
            </w:r>
          </w:p>
        </w:tc>
      </w:tr>
      <w:tr w:rsidR="00A9200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燃</w:t>
            </w:r>
          </w:p>
          <w:p w:rsidR="00A92000" w:rsidRDefault="00A92000" w:rsidP="0090435F">
            <w:pPr>
              <w:spacing w:line="296" w:lineRule="exact"/>
              <w:jc w:val="center"/>
              <w:rPr>
                <w:rFonts w:ascii="宋体" w:hAnsi="宋体"/>
              </w:rPr>
            </w:pPr>
            <w:r>
              <w:rPr>
                <w:rFonts w:ascii="宋体" w:hAnsi="宋体" w:hint="eastAsia"/>
              </w:rPr>
              <w:t>烧</w:t>
            </w:r>
          </w:p>
          <w:p w:rsidR="00A92000" w:rsidRDefault="00A92000" w:rsidP="0090435F">
            <w:pPr>
              <w:spacing w:line="296" w:lineRule="exact"/>
              <w:jc w:val="center"/>
              <w:rPr>
                <w:rFonts w:ascii="宋体" w:hAnsi="宋体"/>
              </w:rPr>
            </w:pPr>
            <w:r>
              <w:rPr>
                <w:rFonts w:ascii="宋体" w:hAnsi="宋体" w:hint="eastAsia"/>
              </w:rPr>
              <w:t>爆</w:t>
            </w:r>
          </w:p>
          <w:p w:rsidR="00A92000" w:rsidRDefault="00A92000" w:rsidP="0090435F">
            <w:pPr>
              <w:spacing w:line="296" w:lineRule="exact"/>
              <w:jc w:val="center"/>
              <w:rPr>
                <w:rFonts w:ascii="宋体" w:hAnsi="宋体"/>
              </w:rPr>
            </w:pPr>
            <w:r>
              <w:rPr>
                <w:rFonts w:ascii="宋体" w:hAnsi="宋体" w:hint="eastAsia"/>
              </w:rPr>
              <w:t>炸</w:t>
            </w:r>
          </w:p>
          <w:p w:rsidR="00A92000" w:rsidRDefault="00A92000" w:rsidP="0090435F">
            <w:pPr>
              <w:spacing w:line="296" w:lineRule="exact"/>
              <w:jc w:val="center"/>
              <w:rPr>
                <w:rFonts w:ascii="宋体" w:hAnsi="宋体"/>
              </w:rPr>
            </w:pPr>
            <w:r>
              <w:rPr>
                <w:rFonts w:ascii="宋体" w:hAnsi="宋体" w:hint="eastAsia"/>
              </w:rPr>
              <w:t>危</w:t>
            </w:r>
          </w:p>
          <w:p w:rsidR="00A92000" w:rsidRDefault="00A92000" w:rsidP="0090435F">
            <w:pPr>
              <w:spacing w:line="296" w:lineRule="exact"/>
              <w:jc w:val="center"/>
              <w:rPr>
                <w:rFonts w:ascii="宋体" w:hAnsi="宋体"/>
              </w:rPr>
            </w:pPr>
            <w:r>
              <w:rPr>
                <w:rFonts w:ascii="宋体" w:hAnsi="宋体" w:hint="eastAsia"/>
              </w:rPr>
              <w:t>险</w:t>
            </w:r>
          </w:p>
          <w:p w:rsidR="00A92000" w:rsidRDefault="00A92000" w:rsidP="0090435F">
            <w:pPr>
              <w:spacing w:line="296" w:lineRule="exact"/>
              <w:jc w:val="center"/>
              <w:rPr>
                <w:rFonts w:ascii="宋体" w:hAnsi="宋体"/>
              </w:rPr>
            </w:pPr>
            <w:r>
              <w:rPr>
                <w:rFonts w:ascii="宋体" w:hAnsi="宋体" w:hint="eastAsia"/>
              </w:rPr>
              <w:t>性</w:t>
            </w: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燃烧性： 可燃</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闪点（℃）：106</w:t>
            </w:r>
          </w:p>
        </w:tc>
      </w:tr>
      <w:tr w:rsidR="00A92000" w:rsidTr="0090435F">
        <w:trPr>
          <w:cantSplit/>
          <w:jc w:val="center"/>
        </w:trPr>
        <w:tc>
          <w:tcPr>
            <w:tcW w:w="489" w:type="dxa"/>
            <w:vMerge/>
            <w:tcBorders>
              <w:top w:val="single" w:sz="4" w:space="0" w:color="auto"/>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爆炸下限（%）：2.2</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爆炸上限（%）：无资料</w:t>
            </w:r>
          </w:p>
        </w:tc>
      </w:tr>
      <w:tr w:rsidR="00A92000" w:rsidTr="0090435F">
        <w:trPr>
          <w:cantSplit/>
          <w:jc w:val="center"/>
        </w:trPr>
        <w:tc>
          <w:tcPr>
            <w:tcW w:w="489" w:type="dxa"/>
            <w:vMerge/>
            <w:tcBorders>
              <w:top w:val="single" w:sz="4" w:space="0" w:color="auto"/>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引燃温度（℃）：305</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最小点火能（mJ）：无资料</w:t>
            </w:r>
          </w:p>
        </w:tc>
      </w:tr>
      <w:tr w:rsidR="00A92000" w:rsidTr="0090435F">
        <w:trPr>
          <w:cantSplit/>
          <w:jc w:val="center"/>
        </w:trPr>
        <w:tc>
          <w:tcPr>
            <w:tcW w:w="489" w:type="dxa"/>
            <w:vMerge/>
            <w:tcBorders>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 xml:space="preserve">最大爆炸压力（MPa）：无资料 </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稳定性： 稳定</w:t>
            </w:r>
          </w:p>
        </w:tc>
      </w:tr>
      <w:tr w:rsidR="00A92000" w:rsidTr="0090435F">
        <w:trPr>
          <w:cantSplit/>
          <w:jc w:val="center"/>
        </w:trPr>
        <w:tc>
          <w:tcPr>
            <w:tcW w:w="489" w:type="dxa"/>
            <w:vMerge/>
            <w:tcBorders>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聚合危害： 不聚合</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燃烧分解产物 一氧化碳、二氧化碳。氧化氮</w:t>
            </w:r>
          </w:p>
        </w:tc>
      </w:tr>
      <w:tr w:rsidR="00A92000" w:rsidTr="0090435F">
        <w:trPr>
          <w:cantSplit/>
          <w:jc w:val="center"/>
        </w:trPr>
        <w:tc>
          <w:tcPr>
            <w:tcW w:w="489" w:type="dxa"/>
            <w:vMerge/>
            <w:tcBorders>
              <w:left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color w:val="000000"/>
              </w:rPr>
              <w:t>禁忌物：</w:t>
            </w:r>
            <w:r>
              <w:rPr>
                <w:rFonts w:ascii="宋体" w:hAnsi="宋体" w:hint="eastAsia"/>
              </w:rPr>
              <w:t xml:space="preserve"> 强氧化剂、强还原剂、强碱。</w:t>
            </w:r>
          </w:p>
        </w:tc>
      </w:tr>
      <w:tr w:rsidR="00A92000" w:rsidTr="0090435F">
        <w:trPr>
          <w:cantSplit/>
          <w:jc w:val="center"/>
        </w:trPr>
        <w:tc>
          <w:tcPr>
            <w:tcW w:w="489" w:type="dxa"/>
            <w:vMerge/>
            <w:tcBorders>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color w:val="000000"/>
              </w:rPr>
            </w:pPr>
            <w:r>
              <w:rPr>
                <w:rFonts w:ascii="宋体" w:hAnsi="宋体" w:hint="eastAsia"/>
              </w:rPr>
              <w:t>危险特性：易燃，遇明火、高热或与氧化剂接触，有引起燃烧爆炸的危险。受高热分解放出有毒的气体。</w:t>
            </w:r>
          </w:p>
        </w:tc>
      </w:tr>
      <w:tr w:rsidR="00A92000" w:rsidTr="0090435F">
        <w:trPr>
          <w:cantSplit/>
          <w:jc w:val="center"/>
        </w:trPr>
        <w:tc>
          <w:tcPr>
            <w:tcW w:w="489" w:type="dxa"/>
            <w:vMerge/>
            <w:tcBorders>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灭火方法：消防人员须佩戴防毒面具、穿全身消防服，在上风向灭火。灭火剂：泡沫、干粉、二氧化碳。</w:t>
            </w:r>
          </w:p>
        </w:tc>
      </w:tr>
      <w:tr w:rsidR="00A9200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毒</w:t>
            </w:r>
          </w:p>
          <w:p w:rsidR="00A92000" w:rsidRDefault="00A92000" w:rsidP="0090435F">
            <w:pPr>
              <w:spacing w:line="29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：891</w:t>
            </w:r>
            <w:r>
              <w:rPr>
                <w:rFonts w:ascii="宋体" w:hAnsi="宋体"/>
              </w:rPr>
              <w:t>mg/kg</w:t>
            </w:r>
            <w:r>
              <w:rPr>
                <w:rFonts w:ascii="宋体" w:hAnsi="宋体" w:hint="eastAsia"/>
              </w:rPr>
              <w:t xml:space="preserve">(大鼠经口)； </w:t>
            </w:r>
          </w:p>
          <w:p w:rsidR="00A92000" w:rsidRDefault="00A92000"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9200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侵入途经：吸入、食入、经皮吸收。</w:t>
            </w:r>
          </w:p>
        </w:tc>
      </w:tr>
      <w:tr w:rsidR="00A92000"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对眼睛、呼吸道和皮肤有刺激作用。吸收进入体内可引起高铁血红蛋白血症，出现紫绀。严重中毒者可致死。 </w:t>
            </w:r>
          </w:p>
        </w:tc>
      </w:tr>
      <w:tr w:rsidR="00A92000" w:rsidTr="0090435F">
        <w:trPr>
          <w:cantSplit/>
          <w:jc w:val="center"/>
        </w:trPr>
        <w:tc>
          <w:tcPr>
            <w:tcW w:w="489" w:type="dxa"/>
            <w:tcBorders>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急</w:t>
            </w:r>
          </w:p>
          <w:p w:rsidR="00A92000" w:rsidRDefault="00A92000" w:rsidP="0090435F">
            <w:pPr>
              <w:spacing w:line="29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皮肤接触：立即脱去污染的衣着，用肥皂水和清水彻底冲洗皮肤。就医。     ※眼睛接触：提起眼睑，用流动清水或生理盐水冲洗。就医。     ※吸入：迅速脱离现场至空气新鲜处。保持呼吸道通畅。如呼吸困难，给输氧。如呼吸停止，立即进行人工呼吸。就医。     ※食入：饮足量温水，催吐。就医。</w:t>
            </w:r>
          </w:p>
        </w:tc>
      </w:tr>
      <w:tr w:rsidR="00A9200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防</w:t>
            </w:r>
          </w:p>
          <w:p w:rsidR="00A92000" w:rsidRDefault="00A92000" w:rsidP="0090435F">
            <w:pPr>
              <w:spacing w:line="29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工程控制：严加密闭，提供充分的局部排风。提供安全淋浴和洗眼设备。     ※呼吸系统防护：空气中浓度超标时，建议佩戴自吸过滤式防毒面具（半面罩）。      ※眼睛防护：戴安全防护眼镜。     ※身体防护：穿透气型防毒服。     ※手防护：戴橡胶耐油手套。   ※其他：工作现场禁止吸烟、进食和饮水。及时换洗工作服。工作前后不饮酒，用温水洗澡。注意检测毒物。实行就业前和定期的体检。</w:t>
            </w:r>
          </w:p>
        </w:tc>
      </w:tr>
      <w:tr w:rsidR="00A9200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泄</w:t>
            </w:r>
          </w:p>
          <w:p w:rsidR="00A92000" w:rsidRDefault="00A92000" w:rsidP="0090435F">
            <w:pPr>
              <w:spacing w:line="296" w:lineRule="exact"/>
              <w:jc w:val="center"/>
              <w:rPr>
                <w:rFonts w:ascii="宋体" w:hAnsi="宋体"/>
              </w:rPr>
            </w:pPr>
            <w:r>
              <w:rPr>
                <w:rFonts w:ascii="宋体" w:hAnsi="宋体" w:hint="eastAsia"/>
              </w:rPr>
              <w:t>漏</w:t>
            </w:r>
          </w:p>
          <w:p w:rsidR="00A92000" w:rsidRDefault="00A92000" w:rsidP="0090435F">
            <w:pPr>
              <w:spacing w:line="296" w:lineRule="exact"/>
              <w:jc w:val="center"/>
              <w:rPr>
                <w:rFonts w:ascii="宋体" w:hAnsi="宋体"/>
              </w:rPr>
            </w:pPr>
            <w:r>
              <w:rPr>
                <w:rFonts w:ascii="宋体" w:hAnsi="宋体" w:hint="eastAsia"/>
              </w:rPr>
              <w:t>处</w:t>
            </w:r>
          </w:p>
          <w:p w:rsidR="00A92000" w:rsidRDefault="00A92000" w:rsidP="0090435F">
            <w:pPr>
              <w:spacing w:line="296"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大量泄漏：构筑围堤或挖坑收容。用泵转移至槽车或专用收集器内，回收或运至废物处理场所处置。</w:t>
            </w:r>
          </w:p>
        </w:tc>
      </w:tr>
      <w:tr w:rsidR="00A9200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jc w:val="center"/>
              <w:rPr>
                <w:rFonts w:ascii="宋体" w:hAnsi="宋体"/>
              </w:rPr>
            </w:pPr>
            <w:r>
              <w:rPr>
                <w:rFonts w:ascii="宋体" w:hAnsi="宋体" w:hint="eastAsia"/>
              </w:rPr>
              <w:t>储</w:t>
            </w:r>
          </w:p>
          <w:p w:rsidR="00A92000" w:rsidRDefault="00A92000" w:rsidP="0090435F">
            <w:pPr>
              <w:spacing w:line="29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92000" w:rsidRDefault="00A92000" w:rsidP="0090435F">
            <w:pPr>
              <w:spacing w:line="296" w:lineRule="exact"/>
              <w:rPr>
                <w:rFonts w:ascii="宋体" w:hAnsi="宋体"/>
              </w:rPr>
            </w:pPr>
            <w:r>
              <w:rPr>
                <w:rFonts w:ascii="宋体" w:hAnsi="宋体" w:hint="eastAsia"/>
              </w:rPr>
              <w:t>储存于阴凉、通风的库房。远离火种、热源。保持容器密封。应与氧化剂、还原剂、碱类、食用化学品分开存放，切忌混储。配备相应品种和数量的消防器材。储区应备有泄漏应急处理设备和合适的收容材料。应严格执行极毒物品“五双”管理制度。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00"/>
    <w:rsid w:val="00A9200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9409A-8777-4352-A44F-D6071D13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9200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9200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zyhq</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